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贵阳幼儿师范高等专科学校拓新书院</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第二届大学生创新创业竞赛暨贵州省第九届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“互联网+”大学生创新创业大赛与第十八届“挑战杯”全国大学生课外学术科技作品竞赛</w:t>
      </w:r>
    </w:p>
    <w:p>
      <w:pPr>
        <w:keepNext w:val="0"/>
        <w:keepLines w:val="0"/>
        <w:pageBreakBefore w:val="0"/>
        <w:widowControl w:val="0"/>
        <w:kinsoku/>
        <w:overflowPunct/>
        <w:topLinePunct w:val="0"/>
        <w:bidi w:val="0"/>
        <w:snapToGrid/>
        <w:spacing w:line="500" w:lineRule="exact"/>
        <w:jc w:val="center"/>
        <w:textAlignment w:val="auto"/>
        <w:rPr>
          <w:rFonts w:hint="eastAsia" w:ascii="宋体" w:hAnsi="宋体" w:eastAsia="宋体" w:cs="宋体"/>
          <w:b/>
          <w:bCs/>
          <w:kern w:val="2"/>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rPr>
        <w:t>校级选拔赛现场评审</w:t>
      </w:r>
      <w:r>
        <w:rPr>
          <w:rFonts w:hint="eastAsia" w:ascii="宋体" w:hAnsi="宋体" w:eastAsia="宋体" w:cs="宋体"/>
          <w:b/>
          <w:bCs/>
          <w:kern w:val="2"/>
          <w:sz w:val="44"/>
          <w:szCs w:val="44"/>
          <w:lang w:val="en-US" w:eastAsia="zh-CN" w:bidi="ar-SA"/>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为促进我校大学生创新创业活动开展，积极备战2023年第九届中国国际“互联网+”大学生创新创业大赛与第十八届“挑战杯”全国大学生课外学术科技作品竞赛（贵州省赛区），为有效发挥拓新书院职能，通过学校大学生创新创业竞赛，选拔及培育优秀项目参加贵州省分赛，现根据《贵阳幼儿师范高等专科学校拓新书院大学生创新创业大赛校级选拔赛通知》要求，特进行校赛评审，为有效开展评审工作，特拟定该比赛评审方案。</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714" w:firstLineChars="200"/>
        <w:textAlignment w:val="auto"/>
        <w:rPr>
          <w:rFonts w:hint="default" w:ascii="Times New Roman" w:hAnsi="黑体" w:eastAsia="黑体"/>
          <w:sz w:val="36"/>
          <w:szCs w:val="36"/>
          <w:lang w:val="en-US" w:eastAsia="zh-CN"/>
        </w:rPr>
      </w:pPr>
      <w:r>
        <w:rPr>
          <w:rFonts w:hint="eastAsia" w:ascii="Times New Roman" w:hAnsi="黑体" w:eastAsia="黑体"/>
          <w:sz w:val="36"/>
          <w:szCs w:val="36"/>
          <w:lang w:val="en-US" w:eastAsia="zh-CN"/>
        </w:rPr>
        <w:t>一、比赛时间及地点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2023年4月21</w:t>
      </w:r>
      <w:bookmarkStart w:id="0" w:name="_GoBack"/>
      <w:bookmarkEnd w:id="0"/>
      <w:r>
        <w:rPr>
          <w:rFonts w:hint="eastAsia" w:ascii="Times New Roman" w:hAnsi="Times New Roman" w:eastAsia="仿宋_GB2312" w:cs="仿宋_GB2312"/>
          <w:kern w:val="2"/>
          <w:sz w:val="32"/>
          <w:szCs w:val="32"/>
          <w:lang w:val="en-US" w:eastAsia="zh-CN" w:bidi="ar-SA"/>
        </w:rPr>
        <w:t>日10:00，在贵阳幼儿师范高等专科学校学前合班教室2进行；</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714" w:firstLineChars="200"/>
        <w:textAlignment w:val="auto"/>
        <w:rPr>
          <w:rFonts w:hint="eastAsia" w:ascii="Times New Roman" w:hAnsi="黑体" w:eastAsia="黑体"/>
          <w:sz w:val="36"/>
          <w:szCs w:val="36"/>
          <w:lang w:val="en-US" w:eastAsia="zh-CN"/>
        </w:rPr>
      </w:pPr>
      <w:r>
        <w:rPr>
          <w:rFonts w:hint="eastAsia" w:ascii="Times New Roman" w:hAnsi="黑体" w:eastAsia="黑体"/>
          <w:sz w:val="36"/>
          <w:szCs w:val="36"/>
          <w:lang w:val="en-US" w:eastAsia="zh-CN"/>
        </w:rPr>
        <w:t>二、比赛形式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通过线上、线下集合评审的形式；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1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黑体" w:eastAsia="黑体"/>
          <w:sz w:val="36"/>
          <w:szCs w:val="36"/>
          <w:lang w:val="en-US" w:eastAsia="zh-CN"/>
        </w:rPr>
        <w:t>三、比赛评审专家组成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评审专家组由校内评审专家2名、校外评审专家3名组成；</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714" w:firstLineChars="200"/>
        <w:textAlignment w:val="auto"/>
        <w:rPr>
          <w:rFonts w:hint="default" w:ascii="Times New Roman" w:hAnsi="黑体" w:eastAsia="黑体"/>
          <w:sz w:val="36"/>
          <w:szCs w:val="36"/>
          <w:lang w:val="en-US" w:eastAsia="zh-CN"/>
        </w:rPr>
      </w:pPr>
      <w:r>
        <w:rPr>
          <w:rFonts w:hint="eastAsia" w:ascii="Times New Roman" w:hAnsi="黑体" w:eastAsia="黑体"/>
          <w:sz w:val="36"/>
          <w:szCs w:val="36"/>
          <w:lang w:val="en-US" w:eastAsia="zh-CN"/>
        </w:rPr>
        <w:t>四、比赛流程及注意事项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（一）参赛团队进行现场抽签，确定出场顺序；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（二）参赛团队依据抽签顺序依次出场进行PPT路演，评委提问及团队答辩，每个团队路演时间为 5分钟，答辩时间为 3分钟，总时间为8分钟；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（三）评委根据参赛团队提交作品资料与参赛团队路演答辩情况进行综合评分（评分表参照附件），项目总成绩=（评委1+评委2+···+评委N）/评委数；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（四）点评与总结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全部参赛团队现场评审结束后请专家对本次校内选拔赛进行点评；请学校领导对本次比赛进行总结；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（五）成绩公布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最后评审结果将公布在 贵阳幼高专实验实训中心公众号、实验实训中心网站等；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（六）奖项设置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根据项目前期报名情况，通过现场答辩评审，评选出1个金奖项目,2个银奖项目，3个铜奖项目，其余入选项目为优秀项目；设优秀指导教师（含指导教师团队）奖5个、优秀组织奖1个；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（七）颁奖形式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通过项目评审及公示后，获奖团队由拓新书院颁发荣誉证书；校赛优秀项目将按照省赛组委会配额择优遴选进入市级、省级复赛；</w:t>
      </w:r>
    </w:p>
    <w:p>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714" w:firstLineChars="200"/>
        <w:textAlignment w:val="auto"/>
        <w:rPr>
          <w:rFonts w:hint="eastAsia" w:ascii="Times New Roman" w:hAnsi="黑体" w:eastAsia="黑体"/>
          <w:sz w:val="36"/>
          <w:szCs w:val="36"/>
          <w:lang w:val="en-US" w:eastAsia="zh-CN"/>
        </w:rPr>
      </w:pPr>
      <w:r>
        <w:rPr>
          <w:rFonts w:hint="eastAsia" w:ascii="Times New Roman" w:hAnsi="黑体" w:eastAsia="黑体"/>
          <w:sz w:val="36"/>
          <w:szCs w:val="36"/>
          <w:lang w:val="en-US" w:eastAsia="zh-CN"/>
        </w:rPr>
        <w:t>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（一）请学校党委宣传部进行宣传报道；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（二）请领导、嘉宾着整齐便装出席活动，配合工作人员做好相关工作；</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634"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（三）</w:t>
      </w:r>
      <w:r>
        <w:rPr>
          <w:rFonts w:hint="eastAsia" w:ascii="Times New Roman" w:hAnsi="Times New Roman" w:cs="仿宋_GB2312"/>
          <w:kern w:val="2"/>
          <w:sz w:val="32"/>
          <w:szCs w:val="32"/>
          <w:lang w:val="en-US" w:eastAsia="zh-CN" w:bidi="ar-SA"/>
        </w:rPr>
        <w:t>拓新书院做好评审会议流程的</w:t>
      </w:r>
      <w:r>
        <w:rPr>
          <w:rFonts w:hint="eastAsia" w:ascii="Times New Roman" w:hAnsi="Times New Roman" w:eastAsia="仿宋_GB2312" w:cs="仿宋_GB2312"/>
          <w:kern w:val="2"/>
          <w:sz w:val="32"/>
          <w:szCs w:val="32"/>
          <w:lang w:val="en-US" w:eastAsia="zh-CN" w:bidi="ar-SA"/>
        </w:rPr>
        <w:t>安排和对接工作。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714" w:firstLineChars="200"/>
        <w:textAlignment w:val="auto"/>
        <w:rPr>
          <w:rFonts w:hint="eastAsia" w:ascii="Times New Roman" w:hAnsi="黑体" w:eastAsia="黑体" w:cs="Times New Roman"/>
          <w:kern w:val="2"/>
          <w:sz w:val="36"/>
          <w:szCs w:val="36"/>
          <w:lang w:val="en-US" w:eastAsia="zh-CN" w:bidi="ar-SA"/>
        </w:rPr>
      </w:pPr>
      <w:r>
        <w:rPr>
          <w:rFonts w:hint="eastAsia" w:ascii="Times New Roman" w:hAnsi="黑体" w:eastAsia="黑体" w:cs="Times New Roman"/>
          <w:kern w:val="2"/>
          <w:sz w:val="36"/>
          <w:szCs w:val="36"/>
          <w:lang w:val="en-US" w:eastAsia="zh-CN" w:bidi="ar-SA"/>
        </w:rPr>
        <w:t>六、联系人</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吴  凡  18076217461</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34" w:firstLineChars="200"/>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熊博源  15603010259</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34" w:firstLineChars="200"/>
        <w:textAlignment w:val="auto"/>
        <w:rPr>
          <w:rFonts w:hint="eastAsia" w:ascii="Times New Roman" w:hAnsi="Times New Roman" w:eastAsia="仿宋_GB2312" w:cs="仿宋_GB2312"/>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righ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贵阳幼儿师范高等专科学校</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0" w:firstLineChars="0"/>
        <w:jc w:val="right"/>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 xml:space="preserve">拓新书院办公室     </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0" w:firstLineChars="0"/>
        <w:jc w:val="righ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 xml:space="preserve">2023年04月11日  </w:t>
      </w:r>
    </w:p>
    <w:p>
      <w:pPr>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br w:type="page"/>
      </w:r>
    </w:p>
    <w:p>
      <w:pPr>
        <w:keepNext w:val="0"/>
        <w:keepLines w:val="0"/>
        <w:pageBreakBefore w:val="0"/>
        <w:widowControl w:val="0"/>
        <w:numPr>
          <w:ilvl w:val="0"/>
          <w:numId w:val="0"/>
        </w:numPr>
        <w:tabs>
          <w:tab w:val="left" w:pos="1053"/>
        </w:tabs>
        <w:kinsoku/>
        <w:wordWrap/>
        <w:overflowPunct/>
        <w:topLinePunct w:val="0"/>
        <w:autoSpaceDE w:val="0"/>
        <w:autoSpaceDN w:val="0"/>
        <w:bidi w:val="0"/>
        <w:adjustRightInd w:val="0"/>
        <w:snapToGrid/>
        <w:spacing w:line="50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pPr>
        <w:keepNext w:val="0"/>
        <w:keepLines w:val="0"/>
        <w:pageBreakBefore w:val="0"/>
        <w:widowControl w:val="0"/>
        <w:kinsoku/>
        <w:overflowPunct/>
        <w:topLinePunct w:val="0"/>
        <w:bidi w:val="0"/>
        <w:snapToGrid/>
        <w:spacing w:line="5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职教赛道</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项目评审要点：创意组</w:t>
      </w:r>
    </w:p>
    <w:tbl>
      <w:tblPr>
        <w:tblStyle w:val="7"/>
        <w:tblW w:w="5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7939"/>
        <w:gridCol w:w="84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仿宋"/>
                <w:b w:val="0"/>
                <w:bCs/>
                <w:sz w:val="24"/>
                <w:szCs w:val="24"/>
              </w:rPr>
            </w:pPr>
            <w:r>
              <w:rPr>
                <w:rFonts w:hint="eastAsia" w:ascii="黑体" w:hAnsi="黑体" w:eastAsia="黑体" w:cs="仿宋"/>
                <w:b w:val="0"/>
                <w:bCs/>
                <w:sz w:val="24"/>
                <w:szCs w:val="24"/>
              </w:rPr>
              <w:t>评审要点</w:t>
            </w:r>
          </w:p>
        </w:tc>
        <w:tc>
          <w:tcPr>
            <w:tcW w:w="367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仿宋"/>
                <w:b w:val="0"/>
                <w:bCs/>
                <w:sz w:val="24"/>
                <w:szCs w:val="24"/>
              </w:rPr>
            </w:pPr>
            <w:r>
              <w:rPr>
                <w:rFonts w:hint="eastAsia" w:ascii="黑体" w:hAnsi="黑体" w:eastAsia="黑体" w:cs="仿宋"/>
                <w:b w:val="0"/>
                <w:bCs/>
                <w:sz w:val="24"/>
                <w:szCs w:val="24"/>
              </w:rPr>
              <w:t>评审内容</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仿宋"/>
                <w:b w:val="0"/>
                <w:bCs/>
                <w:sz w:val="24"/>
                <w:szCs w:val="24"/>
              </w:rPr>
            </w:pPr>
            <w:r>
              <w:rPr>
                <w:rFonts w:hint="eastAsia" w:ascii="黑体" w:hAnsi="黑体" w:eastAsia="黑体" w:cs="仿宋"/>
                <w:b w:val="0"/>
                <w:bCs/>
                <w:sz w:val="24"/>
                <w:szCs w:val="24"/>
              </w:rPr>
              <w:t>分值</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仿宋"/>
                <w:b w:val="0"/>
                <w:bCs/>
                <w:sz w:val="24"/>
                <w:szCs w:val="24"/>
                <w:lang w:val="en-US" w:eastAsia="zh-CN"/>
              </w:rPr>
            </w:pPr>
            <w:r>
              <w:rPr>
                <w:rFonts w:hint="eastAsia" w:ascii="黑体" w:hAnsi="黑体" w:eastAsia="黑体" w:cs="仿宋"/>
                <w:b w:val="0"/>
                <w:bCs/>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创新维度</w:t>
            </w:r>
          </w:p>
        </w:tc>
        <w:tc>
          <w:tcPr>
            <w:tcW w:w="367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1.具有原始创意、创造。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2.具有面向培养“大国工匠”与能工巧匠的创意与创新。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3.项目体现产教融合模式创新、校企合作模式创新、工学一体模式创新。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4.鼓励面向职业和岗位的创意及创新，侧重于加工工艺创新、实用技术创新、产品（技术）改良、应用性优化、民生类创意等。</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30</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团队维度</w:t>
            </w:r>
          </w:p>
        </w:tc>
        <w:tc>
          <w:tcPr>
            <w:tcW w:w="367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1.团队成员的教育、实践、工作背景、创新能力、价值观念等情况。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2.团队的组织构架、分工协作、能力互补、人员配置、股权结构以及激励制度合理性情况。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3.团队与项目关系的真实性、紧密性，团队对项目的各类投入情况，团队未来投身创新创业的可能性情况。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4.支撑项目发展的合作伙伴等外部资源的使用以及与项目关系的情况。</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25</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商业维度</w:t>
            </w:r>
          </w:p>
        </w:tc>
        <w:tc>
          <w:tcPr>
            <w:tcW w:w="367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1.商业模式设计完整、可行，项目已具备盈利能力或具有较好的盈利潜力。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2.项目目标市场容量及市场前景，项目与市场需求匹配情况、项目的市场、资本、社会价值情况，项目落地执行情况。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3.对行业、市场、技术等方面有详实调研，并形成可靠的一手材料，强调实地调查和实践检验。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4.项目对相关产业升级或颠覆的情况；项目与区域经济发展、产业转型升级相结合情况。</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就业维度</w:t>
            </w:r>
          </w:p>
        </w:tc>
        <w:tc>
          <w:tcPr>
            <w:tcW w:w="367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引领教育</w:t>
            </w:r>
          </w:p>
        </w:tc>
        <w:tc>
          <w:tcPr>
            <w:tcW w:w="3671"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1.项目的产生与执行充分展现团队的创新意识、思维和能力，体现团队成员解决复杂问题的综合能力和高级思维。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2.突出大赛的育人本质，充分体现项目成长对团队成员创新创业精神、意识、能力的锻炼和提升作用。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3.项目充分体现多学科交叉、专创融合、产学研协同创新等发展模式。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4.项目所在院校在项目的培育、孵化等方面的支持情况。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5.团队创新创业精神与实践的正向带动和示范作用。</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367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bl>
    <w:p>
      <w:pPr>
        <w:keepNext w:val="0"/>
        <w:keepLines w:val="0"/>
        <w:pageBreakBefore w:val="0"/>
        <w:widowControl w:val="0"/>
        <w:kinsoku/>
        <w:overflowPunct/>
        <w:topLinePunct w:val="0"/>
        <w:bidi w:val="0"/>
        <w:snapToGrid/>
        <w:spacing w:line="5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评审专家签名：                                  时间：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keepNext w:val="0"/>
        <w:keepLines w:val="0"/>
        <w:pageBreakBefore w:val="0"/>
        <w:widowControl w:val="0"/>
        <w:numPr>
          <w:ilvl w:val="0"/>
          <w:numId w:val="0"/>
        </w:numPr>
        <w:tabs>
          <w:tab w:val="left" w:pos="1053"/>
        </w:tabs>
        <w:kinsoku/>
        <w:wordWrap/>
        <w:overflowPunct/>
        <w:topLinePunct w:val="0"/>
        <w:autoSpaceDE w:val="0"/>
        <w:autoSpaceDN w:val="0"/>
        <w:bidi w:val="0"/>
        <w:adjustRightInd w:val="0"/>
        <w:snapToGrid/>
        <w:spacing w:line="50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keepNext w:val="0"/>
        <w:keepLines w:val="0"/>
        <w:pageBreakBefore w:val="0"/>
        <w:widowControl w:val="0"/>
        <w:kinsoku/>
        <w:overflowPunct/>
        <w:topLinePunct w:val="0"/>
        <w:bidi w:val="0"/>
        <w:snapToGrid/>
        <w:spacing w:line="50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“青年红色筑梦之旅”赛道项目评审要点：公益组</w:t>
      </w:r>
    </w:p>
    <w:tbl>
      <w:tblPr>
        <w:tblStyle w:val="7"/>
        <w:tblW w:w="58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7940"/>
        <w:gridCol w:w="84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仿宋"/>
                <w:b w:val="0"/>
                <w:bCs/>
                <w:sz w:val="24"/>
                <w:szCs w:val="24"/>
              </w:rPr>
            </w:pPr>
            <w:r>
              <w:rPr>
                <w:rFonts w:hint="eastAsia" w:ascii="黑体" w:hAnsi="黑体" w:eastAsia="黑体" w:cs="仿宋"/>
                <w:b w:val="0"/>
                <w:bCs/>
                <w:sz w:val="24"/>
                <w:szCs w:val="24"/>
              </w:rPr>
              <w:t>评审要点</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仿宋"/>
                <w:b w:val="0"/>
                <w:bCs/>
                <w:sz w:val="24"/>
                <w:szCs w:val="24"/>
              </w:rPr>
            </w:pPr>
            <w:r>
              <w:rPr>
                <w:rFonts w:hint="eastAsia" w:ascii="黑体" w:hAnsi="黑体" w:eastAsia="黑体" w:cs="仿宋"/>
                <w:b w:val="0"/>
                <w:bCs/>
                <w:sz w:val="24"/>
                <w:szCs w:val="24"/>
              </w:rPr>
              <w:t>评审内容</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仿宋"/>
                <w:b w:val="0"/>
                <w:bCs/>
                <w:sz w:val="24"/>
                <w:szCs w:val="24"/>
              </w:rPr>
            </w:pPr>
            <w:r>
              <w:rPr>
                <w:rFonts w:hint="eastAsia" w:ascii="黑体" w:hAnsi="黑体" w:eastAsia="黑体" w:cs="仿宋"/>
                <w:b w:val="0"/>
                <w:bCs/>
                <w:sz w:val="24"/>
                <w:szCs w:val="24"/>
              </w:rPr>
              <w:t>分值</w:t>
            </w:r>
          </w:p>
        </w:tc>
        <w:tc>
          <w:tcPr>
            <w:tcW w:w="3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仿宋"/>
                <w:b w:val="0"/>
                <w:bCs/>
                <w:sz w:val="24"/>
                <w:szCs w:val="24"/>
                <w:lang w:val="en-US" w:eastAsia="zh-CN"/>
              </w:rPr>
            </w:pPr>
            <w:r>
              <w:rPr>
                <w:rFonts w:hint="eastAsia" w:ascii="黑体" w:hAnsi="黑体" w:eastAsia="黑体" w:cs="仿宋"/>
                <w:b w:val="0"/>
                <w:bCs/>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项目团队</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1.团队成员的基本素质、业务能力、奉献意愿和价值观与项目需求相匹配。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2.团队的组织架构与分工协作合理。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3.团队权益结构或公司股权结构合理。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4.团队的延续性或接替性。</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3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公益性</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1.项目以社会价值为导向，以解决社会问题为使命，不以营利为目的，有可预见的公益成果，公益受众的覆盖面广。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2.在公益服务领域有良好产品或服务模式。</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3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实效性</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1.项目对巩固脱贫攻坚成果、乡村振兴和社区治理等社会问题的贡献度。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2.在引入社会资源方面对农村组织和农民增收、地方产业结构优化等的效果。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3.项目对促进就业、教育、医疗、养老、环境保护与生态建设等方面的效果。</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3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创新性</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1.鼓励技术或服务创新、引入或运用新技术，鼓励高校科研成果转化。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2.鼓励组织模式创新或进行资源整合。</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3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可持续性</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1.项目的持续生存能力。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2.创新研发、生产销售、资源整合等持续运营能力。</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3.项目模式可复制、可推广、具有示范效应等。</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3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引领教育</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1.项目充分展示了创业团队扎根中国大地了解国情民情，运用创新思维和创业能力服务社会。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2.项目充分体现专业教育与创新创业教育的有机融合，充分体现思政教育与创新创业教育的有机融合。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3.突出大赛的育人本质，充分体现项目成长对团队成员的社会责任感、创新精神、实践能力的锻炼和提升作用。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5.团队创新创业、社会服务精神的正向带动和示范作用。</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3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合计</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100</w:t>
            </w:r>
          </w:p>
        </w:tc>
        <w:tc>
          <w:tcPr>
            <w:tcW w:w="3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必要条件</w:t>
            </w:r>
          </w:p>
        </w:tc>
        <w:tc>
          <w:tcPr>
            <w:tcW w:w="4451"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参加由学校、省市或全国组织的“青年红色筑梦之旅”活动，符合公益性要求。</w:t>
            </w:r>
          </w:p>
        </w:tc>
      </w:tr>
    </w:tbl>
    <w:p>
      <w:pPr>
        <w:keepNext w:val="0"/>
        <w:keepLines w:val="0"/>
        <w:pageBreakBefore w:val="0"/>
        <w:widowControl w:val="0"/>
        <w:kinsoku/>
        <w:overflowPunct/>
        <w:topLinePunct w:val="0"/>
        <w:bidi w:val="0"/>
        <w:snapToGrid/>
        <w:spacing w:line="5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评审专家签名：                                  时间：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keepNext w:val="0"/>
        <w:keepLines w:val="0"/>
        <w:pageBreakBefore w:val="0"/>
        <w:widowControl w:val="0"/>
        <w:numPr>
          <w:ilvl w:val="0"/>
          <w:numId w:val="0"/>
        </w:numPr>
        <w:tabs>
          <w:tab w:val="left" w:pos="1053"/>
        </w:tabs>
        <w:kinsoku/>
        <w:wordWrap/>
        <w:overflowPunct/>
        <w:topLinePunct w:val="0"/>
        <w:autoSpaceDE w:val="0"/>
        <w:autoSpaceDN w:val="0"/>
        <w:bidi w:val="0"/>
        <w:adjustRightInd w:val="0"/>
        <w:snapToGrid/>
        <w:spacing w:line="500" w:lineRule="exact"/>
        <w:jc w:val="left"/>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附件3</w:t>
      </w:r>
    </w:p>
    <w:p>
      <w:pPr>
        <w:keepNext w:val="0"/>
        <w:keepLines w:val="0"/>
        <w:pageBreakBefore w:val="0"/>
        <w:widowControl w:val="0"/>
        <w:kinsoku/>
        <w:overflowPunct/>
        <w:topLinePunct w:val="0"/>
        <w:bidi w:val="0"/>
        <w:snapToGrid/>
        <w:spacing w:line="5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“挑战杯”全国大学生课外学术科技作品竞赛</w:t>
      </w:r>
    </w:p>
    <w:p>
      <w:pPr>
        <w:keepNext w:val="0"/>
        <w:keepLines w:val="0"/>
        <w:pageBreakBefore w:val="0"/>
        <w:widowControl w:val="0"/>
        <w:kinsoku/>
        <w:overflowPunct/>
        <w:topLinePunct w:val="0"/>
        <w:bidi w:val="0"/>
        <w:snapToGrid/>
        <w:spacing w:line="50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贵州省赛校级选拔赛</w:t>
      </w:r>
      <w:r>
        <w:rPr>
          <w:rFonts w:hint="eastAsia" w:ascii="方正小标宋简体" w:hAnsi="方正小标宋简体" w:eastAsia="方正小标宋简体" w:cs="方正小标宋简体"/>
          <w:bCs/>
          <w:sz w:val="44"/>
          <w:szCs w:val="44"/>
          <w:lang w:eastAsia="zh-CN"/>
        </w:rPr>
        <w:t>评审要点</w:t>
      </w:r>
    </w:p>
    <w:tbl>
      <w:tblPr>
        <w:tblStyle w:val="7"/>
        <w:tblW w:w="58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7940"/>
        <w:gridCol w:w="84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仿宋"/>
                <w:b w:val="0"/>
                <w:bCs/>
                <w:sz w:val="24"/>
                <w:szCs w:val="24"/>
              </w:rPr>
            </w:pPr>
            <w:r>
              <w:rPr>
                <w:rFonts w:hint="eastAsia" w:ascii="黑体" w:hAnsi="黑体" w:eastAsia="黑体" w:cs="仿宋"/>
                <w:b w:val="0"/>
                <w:bCs/>
                <w:sz w:val="24"/>
                <w:szCs w:val="24"/>
              </w:rPr>
              <w:t>评审要点</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仿宋"/>
                <w:b w:val="0"/>
                <w:bCs/>
                <w:sz w:val="24"/>
                <w:szCs w:val="24"/>
              </w:rPr>
            </w:pPr>
            <w:r>
              <w:rPr>
                <w:rFonts w:hint="eastAsia" w:ascii="黑体" w:hAnsi="黑体" w:eastAsia="黑体" w:cs="仿宋"/>
                <w:b w:val="0"/>
                <w:bCs/>
                <w:sz w:val="24"/>
                <w:szCs w:val="24"/>
              </w:rPr>
              <w:t>评审内容</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仿宋"/>
                <w:b w:val="0"/>
                <w:bCs/>
                <w:sz w:val="24"/>
                <w:szCs w:val="24"/>
              </w:rPr>
            </w:pPr>
            <w:r>
              <w:rPr>
                <w:rFonts w:hint="eastAsia" w:ascii="黑体" w:hAnsi="黑体" w:eastAsia="黑体" w:cs="仿宋"/>
                <w:b w:val="0"/>
                <w:bCs/>
                <w:sz w:val="24"/>
                <w:szCs w:val="24"/>
              </w:rPr>
              <w:t>分值</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仿宋"/>
                <w:b w:val="0"/>
                <w:bCs/>
                <w:sz w:val="24"/>
                <w:szCs w:val="24"/>
                <w:lang w:val="en-US" w:eastAsia="zh-CN"/>
              </w:rPr>
            </w:pPr>
            <w:r>
              <w:rPr>
                <w:rFonts w:hint="eastAsia" w:ascii="黑体" w:hAnsi="黑体" w:eastAsia="黑体" w:cs="仿宋"/>
                <w:b w:val="0"/>
                <w:bCs/>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可行性</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考虑论文和报告的工作量大小</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考虑论文和报告的工作难易程度是否超出合理范围</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课题选择</w:t>
            </w:r>
            <w:r>
              <w:rPr>
                <w:rFonts w:hint="eastAsia" w:ascii="仿宋" w:hAnsi="仿宋" w:eastAsia="仿宋" w:cs="仿宋"/>
                <w:sz w:val="24"/>
                <w:szCs w:val="24"/>
                <w:lang w:eastAsia="zh-CN"/>
              </w:rPr>
              <w:t>和作品本身</w:t>
            </w:r>
            <w:r>
              <w:rPr>
                <w:rFonts w:hint="eastAsia" w:ascii="仿宋" w:hAnsi="仿宋" w:eastAsia="仿宋" w:cs="仿宋"/>
                <w:sz w:val="24"/>
                <w:szCs w:val="24"/>
              </w:rPr>
              <w:t>是否有意义</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4.考虑作品本身是否可行。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5.考虑作品中技术操作的可行性分析是否到位。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6.国内是否有同类作品且与本制作相比不具有明显优势</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实用性</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1.论文和报告的实际运用价值。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2.论文和报告的现实社会意义。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3.作品的实际运用价值。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4.作品的现实社会意义。</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创新性</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课题的选择是否有独到之处</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构思是否新颖。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对所研究的课题是否有新见解</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是否填补某一领域空白</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5.设计制作方法是否独树一帜。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6.关键技术和主要技术指标是否有独特之处。</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科学性和先进性</w:t>
            </w: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论文和报告的理论水平</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论文和报告的学术价值</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论文和报告是否处于该领域前沿位置</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4.设计是否合理、精巧。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5.性能是否优良。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6.与现有技术相比是否具有较为突出的实质性技术特点和显著进步。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7.是否具有较高的学术价值。</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366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合计</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100</w:t>
            </w:r>
          </w:p>
        </w:tc>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r>
    </w:tbl>
    <w:p>
      <w:pPr>
        <w:keepNext w:val="0"/>
        <w:keepLines w:val="0"/>
        <w:pageBreakBefore w:val="0"/>
        <w:widowControl w:val="0"/>
        <w:kinsoku/>
        <w:overflowPunct/>
        <w:topLinePunct w:val="0"/>
        <w:bidi w:val="0"/>
        <w:snapToGrid/>
        <w:spacing w:line="5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评审专家签名：                                  时间：</w:t>
      </w:r>
    </w:p>
    <w:sectPr>
      <w:pgSz w:w="11906" w:h="16838"/>
      <w:pgMar w:top="1701" w:right="1417" w:bottom="1417" w:left="1417" w:header="851" w:footer="992" w:gutter="0"/>
      <w:cols w:space="0" w:num="1"/>
      <w:rtlGutter w:val="0"/>
      <w:docGrid w:type="linesAndChars" w:linePitch="311"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3E04F2-61C5-44BE-B47D-ADBBEEA5F6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2" w:fontKey="{5B3370DF-1442-4B15-BEF5-0197AB098DAE}"/>
  </w:font>
  <w:font w:name="方正小标宋简体">
    <w:panose1 w:val="02000000000000000000"/>
    <w:charset w:val="86"/>
    <w:family w:val="auto"/>
    <w:pitch w:val="default"/>
    <w:sig w:usb0="00000001" w:usb1="08000000" w:usb2="00000000" w:usb3="00000000" w:csb0="00040000" w:csb1="00000000"/>
    <w:embedRegular r:id="rId3" w:fontKey="{7F4F73F8-E0DF-4833-B378-305766BCB34C}"/>
  </w:font>
  <w:font w:name="仿宋">
    <w:panose1 w:val="02010609060101010101"/>
    <w:charset w:val="86"/>
    <w:family w:val="auto"/>
    <w:pitch w:val="default"/>
    <w:sig w:usb0="800002BF" w:usb1="38CF7CFA" w:usb2="00000016" w:usb3="00000000" w:csb0="00040001" w:csb1="00000000"/>
    <w:embedRegular r:id="rId4" w:fontKey="{DA54D299-567B-4C68-9797-47BE6A2005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ZDBhM2U3MGZlNWU5YjM1NjIwYjJkZWVlY2MzMDIifQ=="/>
  </w:docVars>
  <w:rsids>
    <w:rsidRoot w:val="00562E0D"/>
    <w:rsid w:val="00562E0D"/>
    <w:rsid w:val="0248296C"/>
    <w:rsid w:val="085E56AE"/>
    <w:rsid w:val="141E29F3"/>
    <w:rsid w:val="23036A1F"/>
    <w:rsid w:val="244D0366"/>
    <w:rsid w:val="25294AA7"/>
    <w:rsid w:val="2F592FA3"/>
    <w:rsid w:val="3FC32B75"/>
    <w:rsid w:val="5A315A59"/>
    <w:rsid w:val="62894684"/>
    <w:rsid w:val="75F6262D"/>
    <w:rsid w:val="7B3B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style>
  <w:style w:type="paragraph" w:styleId="3">
    <w:name w:val="table of authorities"/>
    <w:basedOn w:val="1"/>
    <w:next w:val="1"/>
    <w:qFormat/>
    <w:uiPriority w:val="0"/>
    <w:pPr>
      <w:ind w:left="420" w:leftChars="200"/>
    </w:pPr>
    <w:rPr>
      <w:rFonts w:ascii="仿宋_GB2312" w:eastAsia="仿宋_GB2312"/>
      <w:snapToGrid w:val="0"/>
      <w:kern w:val="0"/>
      <w:sz w:val="32"/>
      <w:szCs w:val="32"/>
    </w:rPr>
  </w:style>
  <w:style w:type="paragraph" w:styleId="4">
    <w:name w:val="Body Text Indent"/>
    <w:basedOn w:val="1"/>
    <w:unhideWhenUsed/>
    <w:qFormat/>
    <w:uiPriority w:val="99"/>
    <w:pPr>
      <w:ind w:left="420" w:leftChars="200"/>
    </w:pPr>
  </w:style>
  <w:style w:type="paragraph" w:styleId="5">
    <w:name w:val="Body Text First Indent 2"/>
    <w:basedOn w:val="4"/>
    <w:unhideWhenUsed/>
    <w:qFormat/>
    <w:uiPriority w:val="99"/>
  </w:style>
  <w:style w:type="table" w:styleId="7">
    <w:name w:val="Table Grid"/>
    <w:basedOn w:val="6"/>
    <w:qFormat/>
    <w:uiPriority w:val="39"/>
    <w:rPr>
      <w:rFonts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2708</Words>
  <Characters>2830</Characters>
  <Lines>0</Lines>
  <Paragraphs>0</Paragraphs>
  <TotalTime>40</TotalTime>
  <ScaleCrop>false</ScaleCrop>
  <LinksUpToDate>false</LinksUpToDate>
  <CharactersWithSpaces>2948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2023-04-11T02:59:00Z</dcterms:created>
  <dc:creator>Midnight Sun</dc:creator>
  <cp:lastModifiedBy>Midnight Sun</cp:lastModifiedBy>
  <dcterms:modified xsi:type="dcterms:W3CDTF">2023-04-15T02:28:57Z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88714908D624470DA9AB1C635ED2A876_11</vt:lpwstr>
  </property>
</Properties>
</file>